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274E3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6B9EF835" w14:textId="76B3FB81" w:rsidR="00C10B96" w:rsidRPr="00274E38" w:rsidRDefault="00C10B96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Kardiomonitor przenośny – 1 szt.</w:t>
      </w:r>
    </w:p>
    <w:p w14:paraId="16E126CF" w14:textId="77777777" w:rsidR="00C97584" w:rsidRPr="00274E38" w:rsidRDefault="00C97584" w:rsidP="00C97584">
      <w:pPr>
        <w:rPr>
          <w:rFonts w:ascii="Calibri" w:hAnsi="Calibri" w:cs="Calibri"/>
          <w:sz w:val="20"/>
          <w:szCs w:val="20"/>
        </w:rPr>
      </w:pPr>
    </w:p>
    <w:p w14:paraId="10748D09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063506AB" w14:textId="6055E780" w:rsidR="005119F3" w:rsidRPr="00274E38" w:rsidRDefault="005119F3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69C6CF88" w14:textId="77777777" w:rsidR="00417F97" w:rsidRPr="00897A93" w:rsidRDefault="00417F97" w:rsidP="00417F97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897A93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897A9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p w14:paraId="22EC541C" w14:textId="77777777" w:rsidR="005476EA" w:rsidRPr="00274E38" w:rsidRDefault="005476EA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274E38" w14:paraId="6C09CB48" w14:textId="77777777" w:rsidTr="00E14B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274E3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73740BDD" w:rsidR="00014AF3" w:rsidRPr="00274E3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274E38">
              <w:rPr>
                <w:rFonts w:ascii="Calibri" w:hAnsi="Calibri" w:cs="Calibri"/>
                <w:sz w:val="20"/>
                <w:szCs w:val="20"/>
              </w:rPr>
              <w:t>opis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274E3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274E38" w14:paraId="01657088" w14:textId="77777777" w:rsidTr="00E14BE8">
        <w:trPr>
          <w:trHeight w:val="441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274E3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274E3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D14B7" w:rsidRPr="00274E38" w14:paraId="010B4797" w14:textId="77777777" w:rsidTr="00E14BE8">
        <w:trPr>
          <w:trHeight w:val="871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9A322F1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280476D" w14:textId="5A9C2780" w:rsidR="004D14B7" w:rsidRPr="00274E38" w:rsidRDefault="004D14B7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Kardiomonitor przenośny – </w:t>
            </w:r>
            <w:r w:rsidR="00353FB4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 szt.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E40EC33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BB244EE" w14:textId="77777777" w:rsidR="004D14B7" w:rsidRPr="00274E38" w:rsidRDefault="004D14B7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D124A" w:rsidRPr="00274E38" w14:paraId="4B6CE31A" w14:textId="77777777" w:rsidTr="00E14BE8">
        <w:tc>
          <w:tcPr>
            <w:tcW w:w="709" w:type="dxa"/>
            <w:vAlign w:val="center"/>
          </w:tcPr>
          <w:p w14:paraId="6FDBD947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F2F2677" w14:textId="433D3049" w:rsidR="00AD124A" w:rsidRPr="00274E38" w:rsidRDefault="00177426" w:rsidP="00AD124A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</w:t>
            </w:r>
            <w:r w:rsidR="00AD124A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oparty na modułowej architekturze pomiarowej, umożliwiającej swobodne przenoszenie modułów pomiędzy urządzeniami. Moduły są odłączane i podłączane w sposób zapewniający automatyczną rekonfigurację interfejsu użytkownika, z natychmiastową prezentacją właściwych parametrów, bez przerywania pracy systemu.</w:t>
            </w:r>
          </w:p>
          <w:p w14:paraId="602B704D" w14:textId="574D231B" w:rsidR="00AD124A" w:rsidRPr="00274E38" w:rsidRDefault="00AD124A" w:rsidP="00AD124A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Moduł pomiarowy definiowany jest jako element jedno- lub wieloparametrowy w formie kompaktowej kostki, wsuwanej bezpośrednio do opcjonalnej bazy modułowej, zapewniającej pełną integrację z systemem pomiarowym.</w:t>
            </w:r>
          </w:p>
        </w:tc>
        <w:tc>
          <w:tcPr>
            <w:tcW w:w="1701" w:type="dxa"/>
            <w:vAlign w:val="center"/>
          </w:tcPr>
          <w:p w14:paraId="4462C851" w14:textId="77777777" w:rsidR="00AD124A" w:rsidRPr="00274E38" w:rsidRDefault="0099449E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  <w:p w14:paraId="7D802F62" w14:textId="3C9BE2CF" w:rsidR="0099449E" w:rsidRPr="00274E38" w:rsidRDefault="0099449E" w:rsidP="0099449E">
            <w:pPr>
              <w:spacing w:line="240" w:lineRule="auto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9A6B4A5" w14:textId="288C305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24A" w:rsidRPr="00274E38" w14:paraId="0340B15B" w14:textId="77777777" w:rsidTr="00E14BE8">
        <w:tc>
          <w:tcPr>
            <w:tcW w:w="709" w:type="dxa"/>
            <w:vAlign w:val="center"/>
          </w:tcPr>
          <w:p w14:paraId="5134E465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1C46FC2" w:rsidR="00AD124A" w:rsidRPr="00274E38" w:rsidRDefault="007B77AC" w:rsidP="00AD12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>ntegracj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oferowanego monitora z dostępnym klinicznym systemem informatycznym (CIS) tego samego producenta co oferowany monitor i system centralnego monitorowania, w polskiej wersji językowej, umożliwiającym prowadzenie elektronicznej dokumentacji medycznej i zapewniającym jej ciągłość w zakresie opieki około-intensywnej i około-operacyjnej, zapewniającym przynajmniej: automatyczną akwizycję parametrów życiowych z oferowanych monitorów, ale także: respiratorów, aparatów do znieczulania, pomp infuzyjnych i urządzeń do terapii 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nerkozastępczej; dokumentacji terapii płynowej i lekowej, obliczanie bilansu płynów, ocenę stanu pacjenta wg znanych </w:t>
            </w:r>
            <w:proofErr w:type="spellStart"/>
            <w:r w:rsidR="00AD124A" w:rsidRPr="00274E38">
              <w:rPr>
                <w:rFonts w:ascii="Calibri" w:hAnsi="Calibri" w:cs="Calibri"/>
                <w:sz w:val="20"/>
                <w:szCs w:val="20"/>
              </w:rPr>
              <w:t>skal</w:t>
            </w:r>
            <w:proofErr w:type="spellEnd"/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ocen, tworzenie zleceń lekarskich, dokumentację procesu opieki pielęgniarskiej, generowanie raportów (w tym karta znieczulenia)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1518379" w14:textId="7777777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  <w:p w14:paraId="05D9AB3B" w14:textId="3389DD6F" w:rsidR="00AD124A" w:rsidRPr="00274E38" w:rsidRDefault="00AD124A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A8AA09F" w14:textId="43AF74D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8F2CCF2" w14:textId="77777777" w:rsidTr="00E14BE8">
        <w:tc>
          <w:tcPr>
            <w:tcW w:w="709" w:type="dxa"/>
            <w:vAlign w:val="center"/>
          </w:tcPr>
          <w:p w14:paraId="7AACD6C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4EE6E" w14:textId="77777777" w:rsidR="001F6B85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przeznaczony do monitorowania przy łóżku pacjenta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35297C0A" w14:textId="5F2BC667" w:rsidR="0099449E" w:rsidRPr="00274E38" w:rsidRDefault="001F6B85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ozwala na jednoczesny pomiar co najmniej następujących parametrów:</w:t>
            </w:r>
          </w:p>
          <w:p w14:paraId="57619F79" w14:textId="3FBBF892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EKG/ST/QT/Arytmie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62186E6" w14:textId="6E2F0DD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Saturacja krwi SpO2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A66805" w14:textId="2B95853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Oddech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91969F9" w14:textId="22249C26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Nieinwazyjny pomiar ciśnienia krwi NIBP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E50F4AD" w14:textId="7187195F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Inwazyjny pomiar ciśnienia krwi 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A20A77C" w14:textId="66E53ADC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Temperatura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  <w:p w14:paraId="1D423F9C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oraz jest wyposażony w złącze uniwersalne min. 2 szt. wbudowane w obudowę monitora, typu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plug&amp;play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, służące do rozbudowy o kolejne funkcje pomiarowe, dostępne bez konieczności stosowania opcjonalnej bazy (kieszeni) modułowej.</w:t>
            </w:r>
          </w:p>
          <w:p w14:paraId="118F0BE8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Prezentacja danych na ekranie monitora, nastawianie granic alarmowych z poziomu monitora i przesyłanie danych do centrali monitorującej.</w:t>
            </w:r>
          </w:p>
          <w:p w14:paraId="37C87AA7" w14:textId="709393C0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Monitor 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posiada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możliwość rozbudowy o co najmniej następujące, dodatkowe funkcje pomiarowe wraz z alarmami, które są sterowane z poziomu ekranu monitora:</w:t>
            </w:r>
          </w:p>
          <w:p w14:paraId="4BC3E03F" w14:textId="69F1A2CC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ciągły pomiar rzutu serca CCO metodą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termodylucji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przezpłucnej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F4D5BDF" w14:textId="75FF5591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przewodzenia nerwowo-mięśniowego (NMT)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56C160" w14:textId="5F82A1F2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hemoglobiny całkowitej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SpHb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291B0C9" w14:textId="569C8EA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całkowitej zawartości tlenu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SpOC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8E57A42" w14:textId="318BADF0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karboksyhemoglobiny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SpCO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4F8486F" w14:textId="4F1A6F6B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methemoglobiny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SpMet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D6C2010" w14:textId="44313D47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wskaźnik zmienności krzywej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pletyzmograficznej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(PVI)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3EEBA5" w14:textId="3008AB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elektroencefalografia EEG, w tym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aEEG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716959" w14:textId="57B0DD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głębokości uśpienia metodą BIS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2EE7F64" w14:textId="37371CA3" w:rsidR="001F6B85" w:rsidRDefault="001F6B85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omiar głębokości uśpienia metodą </w:t>
            </w:r>
            <w:proofErr w:type="spellStart"/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>Sedline</w:t>
            </w:r>
            <w:proofErr w:type="spellEnd"/>
            <w:r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1279B70" w14:textId="58525A8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regionalna saturacja tlenowa (oksymetria regionalna)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3B85441" w14:textId="6A68BC0C" w:rsidR="0099449E" w:rsidRP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lastRenderedPageBreak/>
              <w:t>pomiar gazów anestetycznych i oddechowych w drogach oddechowych pacjenta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4E3D5FF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638B2A0" w14:textId="77777777" w:rsidTr="00E14BE8">
        <w:tc>
          <w:tcPr>
            <w:tcW w:w="709" w:type="dxa"/>
            <w:vAlign w:val="center"/>
          </w:tcPr>
          <w:p w14:paraId="6FC1BB9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48F067" w14:textId="067B271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kolorowy ekran</w:t>
            </w:r>
            <w:r w:rsidR="00881688">
              <w:rPr>
                <w:rFonts w:ascii="Calibri" w:hAnsi="Calibri" w:cs="Calibri"/>
                <w:sz w:val="20"/>
                <w:szCs w:val="20"/>
              </w:rPr>
              <w:t xml:space="preserve"> LCD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, sterowany dotykowo, zapewniający prezentację monitorowanych parametrów życiowych pacjenta, krzywych dynamicznych i interaktywne sterowanie wszystkimi wymaganymi pomiarami.</w:t>
            </w:r>
          </w:p>
          <w:p w14:paraId="76467C80" w14:textId="290A57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Ekran o przekątnej min. 15 cali, rozdzielczości min. 1920x1080, ze sterowaniem dotykowym wykorzystującym pojemnościową technologię dotyku. Technologia ta </w:t>
            </w:r>
            <w:r w:rsidR="007B77AC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umożliwia</w:t>
            </w:r>
            <w:r w:rsidR="007B77AC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obsługę gestów w tym: przeciąganie, przewijanie (podobnie jak w smartfonach i tabletach)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0B3F4645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349837" w14:textId="77777777" w:rsidTr="00E14BE8">
        <w:tc>
          <w:tcPr>
            <w:tcW w:w="709" w:type="dxa"/>
            <w:vAlign w:val="center"/>
          </w:tcPr>
          <w:p w14:paraId="39D15F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2A5B906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="00C40D9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czujnik światła, który pozwala na automatyczną regulację poziomu jasności ekranu w zależności od natężenia światła otoczenia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7D97DE4A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B886B17" w14:textId="77777777" w:rsidTr="00E14BE8">
        <w:tc>
          <w:tcPr>
            <w:tcW w:w="709" w:type="dxa"/>
            <w:vAlign w:val="center"/>
          </w:tcPr>
          <w:p w14:paraId="42C06AD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150B162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oprogramowanie, menu i komunikaty ekranowe w języku polskim</w:t>
            </w:r>
          </w:p>
        </w:tc>
        <w:tc>
          <w:tcPr>
            <w:tcW w:w="1701" w:type="dxa"/>
            <w:vAlign w:val="center"/>
          </w:tcPr>
          <w:p w14:paraId="62BA9549" w14:textId="4637C45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B9F903D" w14:textId="77777777" w:rsidTr="00E14BE8">
        <w:tc>
          <w:tcPr>
            <w:tcW w:w="709" w:type="dxa"/>
            <w:vAlign w:val="center"/>
          </w:tcPr>
          <w:p w14:paraId="6B813F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97B213" w14:textId="5CF5121D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Dla zachowania wysokiego stopnia aseptyki urządzenia monitor oraz moduły pomiarowe nie mogą posiadać jakichkolwiek wbudowanych wentylatorów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86B0BFE" w14:textId="40C4C5F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Klasa ochrony przed ciałami stałymi i przed wodą min. IP32</w:t>
            </w:r>
            <w:r w:rsidR="001F1AA2" w:rsidRPr="00274E38">
              <w:rPr>
                <w:rFonts w:ascii="Calibri" w:hAnsi="Calibri" w:cs="Calibri"/>
                <w:sz w:val="20"/>
                <w:szCs w:val="20"/>
              </w:rPr>
              <w:t xml:space="preserve"> lub równoważna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0D5B311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DC97090" w14:textId="77777777" w:rsidTr="00E14BE8">
        <w:tc>
          <w:tcPr>
            <w:tcW w:w="709" w:type="dxa"/>
            <w:vAlign w:val="center"/>
          </w:tcPr>
          <w:p w14:paraId="7C52F79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7EB6F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zasilanie sieciowe 230V 50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oraz akumulatorowe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6849608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167C63C" w14:textId="77777777" w:rsidTr="00E14BE8">
        <w:tc>
          <w:tcPr>
            <w:tcW w:w="709" w:type="dxa"/>
            <w:vAlign w:val="center"/>
          </w:tcPr>
          <w:p w14:paraId="628FD7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B7D634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zasilanie akumulatorowe na co najmniej 3 godziny w przypadku monitorowania EKG/oddech lub na co najmniej 2,5 godziny w przypadku monitorowania EKG/Oddech, SpO2 i NIBP co 15 minut.</w:t>
            </w:r>
          </w:p>
        </w:tc>
        <w:tc>
          <w:tcPr>
            <w:tcW w:w="1701" w:type="dxa"/>
            <w:vAlign w:val="center"/>
          </w:tcPr>
          <w:p w14:paraId="1205C97A" w14:textId="7E8F769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83217AF" w14:textId="77777777" w:rsidTr="00E14BE8">
        <w:tc>
          <w:tcPr>
            <w:tcW w:w="709" w:type="dxa"/>
            <w:vAlign w:val="center"/>
          </w:tcPr>
          <w:p w14:paraId="352CED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E34464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wyświetla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jednocześnie wszystkie wartości numeryczne mierzonych parametrów oraz przynajmniej 8 różnych krzywych dynamicznych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F7E13A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21F55BD" w14:textId="77777777" w:rsidTr="00E14BE8">
        <w:tc>
          <w:tcPr>
            <w:tcW w:w="709" w:type="dxa"/>
            <w:vAlign w:val="center"/>
          </w:tcPr>
          <w:p w14:paraId="34C37A4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E346F6" w14:textId="3678036E" w:rsidR="0099449E" w:rsidRPr="00274E38" w:rsidRDefault="0099449E" w:rsidP="0099449E">
            <w:pPr>
              <w:rPr>
                <w:rFonts w:ascii="Calibri" w:eastAsia="Times New Roman" w:hAnsi="Calibri" w:cs="Calibri"/>
                <w:sz w:val="20"/>
                <w:szCs w:val="20"/>
                <w:lang w:eastAsia="de-DE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przystosowany do pracy ze stacją centralnego monitorowania poprzez łączność przewodową (co najmniej przesyłanie danych pomiarowych i alarmów)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35D5D2" w14:textId="35F1CB6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 podłączeniu monitora do centralnej sieci monitorowania pacjenta </w:t>
            </w:r>
            <w:r w:rsidR="001F6B85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możliwa komunikacja pomiędzy oferowanymi monitorami. Podgląd danych i sygnalizacji alarmów występujących w innych monitorach znajdujących się w ww. sieci monitorowania.</w:t>
            </w:r>
          </w:p>
        </w:tc>
        <w:tc>
          <w:tcPr>
            <w:tcW w:w="1701" w:type="dxa"/>
            <w:vAlign w:val="center"/>
          </w:tcPr>
          <w:p w14:paraId="0E58BAB3" w14:textId="5785844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A6EF615" w14:textId="77777777" w:rsidTr="00E14BE8">
        <w:tc>
          <w:tcPr>
            <w:tcW w:w="709" w:type="dxa"/>
            <w:vAlign w:val="center"/>
          </w:tcPr>
          <w:p w14:paraId="672927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18153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 do tworzenia raportów z przebiegu monitorowania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38312E61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FE71398" w14:textId="77777777" w:rsidTr="00E14BE8">
        <w:tc>
          <w:tcPr>
            <w:tcW w:w="709" w:type="dxa"/>
            <w:vAlign w:val="center"/>
          </w:tcPr>
          <w:p w14:paraId="3DE3739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001A766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funkcję trendów graficznych i tabelarycznych z ostatnich min. 96 godzin. Ustawiana rozdzielczość trendów w zakresie min. od 12 s do 5 min. Wyświetlanie trendów w zaprogramowanych grupach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3F32E955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11BBD3" w14:textId="77777777" w:rsidTr="00E14BE8">
        <w:tc>
          <w:tcPr>
            <w:tcW w:w="709" w:type="dxa"/>
            <w:vAlign w:val="center"/>
          </w:tcPr>
          <w:p w14:paraId="0EE796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4DCC5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typu horyzont, gdzie dane trendów są nakładane na zdefiniowaną linię podstawową lub zakres podstawowy. Funkcja konfigurowalna dla każdego parametru.</w:t>
            </w:r>
          </w:p>
          <w:p w14:paraId="1526420B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Widok typu horyzont składa się z:</w:t>
            </w:r>
          </w:p>
          <w:p w14:paraId="69B1D506" w14:textId="17A32C92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horyzontu stanowiącego punkt referencyjny lub linię podstawową, ułatwiającą wizualizację zmian stanu pacjenta. Widok typu horyzont można skonfigurować tak, aby odwzorowywał bieżący stan pacjenta lub też stan, który może on osiągnąć; może to być pojedyncza wartość lub zakres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2F95DBE3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trendu graficznego przedstawiającego dane pacjenta w zadanym okresie trendu.</w:t>
            </w:r>
          </w:p>
          <w:p w14:paraId="680421F1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wskaźnika trendu w postaci strzałki wskazującej zmianę trendu pacjenta w ustawionym czasie (regulacja czasu min.: 10 minut, 5 minut lub 2 minuty)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1658D7A" w14:textId="2C7D8FD8" w:rsidR="0099449E" w:rsidRP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paska odchyleń wskazującego, w jaki sposób bieżąco mierzona wartość odchylała się od ustawionego horyzontu. Wysokość paska odchyleń stanowi wskaźnik rozległości zmiany stanu pacjenta względem linii podstawowej (horyzontu).</w:t>
            </w:r>
          </w:p>
          <w:p w14:paraId="65808091" w14:textId="5FF178F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Funkcja pozwala ustawić górne i dolne granice (niezależnie od limitów alarmów) oraz wartość docelową.</w:t>
            </w:r>
          </w:p>
        </w:tc>
        <w:tc>
          <w:tcPr>
            <w:tcW w:w="1701" w:type="dxa"/>
            <w:vAlign w:val="center"/>
          </w:tcPr>
          <w:p w14:paraId="0DD13483" w14:textId="407C51A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910667" w14:textId="77777777" w:rsidTr="00E14BE8">
        <w:tc>
          <w:tcPr>
            <w:tcW w:w="709" w:type="dxa"/>
            <w:vAlign w:val="center"/>
          </w:tcPr>
          <w:p w14:paraId="0C5F88C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DBB122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w postaci histogramu, może być skonfigurowana dla dowolnego parametru. Histogram pokazuje procent czasu, w którym pomiary były utrzymywane w określonym zakresie wartości. Histogram może być osadzony na stałe na ekranie głównym, wraz z wartościami liczbowymi mierzonych parametrów oraz ich krzywymi dynamicznymi, nie tylko jako okno typu „pop-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01" w:type="dxa"/>
            <w:vAlign w:val="center"/>
          </w:tcPr>
          <w:p w14:paraId="6B467C41" w14:textId="7C553288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E47505C" w14:textId="77777777" w:rsidTr="00E14BE8">
        <w:tc>
          <w:tcPr>
            <w:tcW w:w="709" w:type="dxa"/>
            <w:vAlign w:val="center"/>
          </w:tcPr>
          <w:p w14:paraId="48AF571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0B9B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wyposażony w system alarmów dźwiękowych i wizualnych min. 3-stopniowe, z podaniem przyczyny alarmu</w:t>
            </w:r>
            <w:r w:rsidR="001463D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6B80747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A16408" w14:textId="77777777" w:rsidTr="00E14BE8">
        <w:tc>
          <w:tcPr>
            <w:tcW w:w="709" w:type="dxa"/>
            <w:vAlign w:val="center"/>
          </w:tcPr>
          <w:p w14:paraId="50BA970B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62D225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Alarmy techniczne z podaniem przyczyny i rejestracją zdarzeń dla potrzeb serwisu. </w:t>
            </w:r>
          </w:p>
        </w:tc>
        <w:tc>
          <w:tcPr>
            <w:tcW w:w="1701" w:type="dxa"/>
            <w:vAlign w:val="center"/>
          </w:tcPr>
          <w:p w14:paraId="644949C6" w14:textId="3A00797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BD83ED1" w14:textId="77777777" w:rsidTr="00E14BE8">
        <w:tc>
          <w:tcPr>
            <w:tcW w:w="709" w:type="dxa"/>
            <w:vAlign w:val="center"/>
          </w:tcPr>
          <w:p w14:paraId="3C87489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33085F3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Czasowe wyciszenie alarmów. Ustawiany czas wyciszania na co najmniej: 1, 2, 3, 5, 10</w:t>
            </w:r>
            <w:r w:rsidRPr="00274E3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037C550D" w14:textId="7A97334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51A4127" w14:textId="77777777" w:rsidTr="00E14BE8">
        <w:tc>
          <w:tcPr>
            <w:tcW w:w="709" w:type="dxa"/>
            <w:vAlign w:val="center"/>
          </w:tcPr>
          <w:p w14:paraId="01EEA1F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A5218" w14:textId="74476244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wewnętrzną pamięć pozwalającą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przechowywanie co najmniej 50 zdarzeń alarmowych.</w:t>
            </w:r>
          </w:p>
          <w:p w14:paraId="4F6C3FA1" w14:textId="2079D435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Zdarzenia zapisywane automatycznie np. w zaprogramowanej sytuacji alarmowej i wyzwalan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ręcznie.</w:t>
            </w:r>
          </w:p>
          <w:p w14:paraId="3AC7F92A" w14:textId="22ABC7A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Zdarzenie 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rejestr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ować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4 różne parametry pomiarowe wraz z odpowiadającymi im krzywymi pomiarowymi</w:t>
            </w:r>
          </w:p>
        </w:tc>
        <w:tc>
          <w:tcPr>
            <w:tcW w:w="1701" w:type="dxa"/>
            <w:vAlign w:val="center"/>
          </w:tcPr>
          <w:p w14:paraId="24AE8CD7" w14:textId="6CED3BF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F5C687B" w14:textId="77777777" w:rsidTr="00E14BE8">
        <w:tc>
          <w:tcPr>
            <w:tcW w:w="709" w:type="dxa"/>
            <w:vAlign w:val="center"/>
          </w:tcPr>
          <w:p w14:paraId="1B424EA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3D7DA1A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Automatyczne ustawianie granic alarmowych w monitorze w stosunku do aktualnych pomiarów pacjenta. Ręczne ustawianie granic alarmów</w:t>
            </w:r>
          </w:p>
        </w:tc>
        <w:tc>
          <w:tcPr>
            <w:tcW w:w="1701" w:type="dxa"/>
            <w:vAlign w:val="center"/>
          </w:tcPr>
          <w:p w14:paraId="0656FDFF" w14:textId="72AD225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4FF6A7A" w14:textId="77777777" w:rsidTr="00E14BE8">
        <w:tc>
          <w:tcPr>
            <w:tcW w:w="709" w:type="dxa"/>
            <w:vAlign w:val="center"/>
          </w:tcPr>
          <w:p w14:paraId="1721435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7CB721" w14:textId="77777777" w:rsidR="00B3374E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posiada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możliwość rozbudowy o następującą funkcjonalność: jednoczesne podłączenie co najmniej dwóch urządzeń zewnętrznych. </w:t>
            </w:r>
          </w:p>
          <w:p w14:paraId="17AFFAB6" w14:textId="36011343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Podłączenie musi umożliwiać odczyt danych pomiarowych i alarmów z urządzeń zewnętrznych na ekranie monitora, przesyłanie ich do stacji centralnego monitorowania i dalej do innych systemów informatycznych np. HIS, CIS.</w:t>
            </w:r>
          </w:p>
          <w:p w14:paraId="5531C692" w14:textId="5F2E4BF1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Powyższa funkcjonalność musi obsługiwać co najmniej wymienione poniżej grupy urządzeń (dla każdej grupy urządzeń 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należy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wymienić min. 2 różnych producentów):</w:t>
            </w:r>
          </w:p>
          <w:p w14:paraId="090D0B2E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monitory hemodynamiczne,</w:t>
            </w:r>
          </w:p>
          <w:p w14:paraId="201CBDF5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oksymetria (mózgowa, regionalna),</w:t>
            </w:r>
          </w:p>
          <w:p w14:paraId="283ACDE3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monitoring funkcji mózgu,</w:t>
            </w:r>
          </w:p>
          <w:p w14:paraId="0E4CFBBF" w14:textId="77777777" w:rsidR="00B3374E" w:rsidRPr="00145C63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przezskórny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pomiar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gazów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(ang. Transcutaneous Gas Measurement),</w:t>
            </w:r>
          </w:p>
          <w:p w14:paraId="71DEA51F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kalorymetria metabolizmu,</w:t>
            </w:r>
          </w:p>
          <w:p w14:paraId="27F250FC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hemodializy,</w:t>
            </w:r>
          </w:p>
          <w:p w14:paraId="7C6552D7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inkubatory,</w:t>
            </w:r>
          </w:p>
          <w:p w14:paraId="225C4AA8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 xml:space="preserve">systemy </w:t>
            </w:r>
            <w:proofErr w:type="spellStart"/>
            <w:r w:rsidRPr="00B3374E">
              <w:rPr>
                <w:rFonts w:ascii="Calibri" w:hAnsi="Calibri" w:cs="Calibri"/>
                <w:sz w:val="20"/>
                <w:szCs w:val="20"/>
              </w:rPr>
              <w:t>kontrapulsacji</w:t>
            </w:r>
            <w:proofErr w:type="spellEnd"/>
            <w:r w:rsidRPr="00B3374E">
              <w:rPr>
                <w:rFonts w:ascii="Calibri" w:hAnsi="Calibri" w:cs="Calibri"/>
                <w:sz w:val="20"/>
                <w:szCs w:val="20"/>
              </w:rPr>
              <w:t xml:space="preserve"> wewnątrzaortalnej (IABP),</w:t>
            </w:r>
          </w:p>
          <w:p w14:paraId="402F8AF4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respiratory,</w:t>
            </w:r>
          </w:p>
          <w:p w14:paraId="61D083F1" w14:textId="3C151B31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aparat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Pr="00B3374E">
              <w:rPr>
                <w:rFonts w:ascii="Calibri" w:hAnsi="Calibri" w:cs="Calibri"/>
                <w:sz w:val="20"/>
                <w:szCs w:val="20"/>
              </w:rPr>
              <w:t>do znieczulania,</w:t>
            </w:r>
          </w:p>
          <w:p w14:paraId="72209EBE" w14:textId="17628CE5" w:rsidR="0099449E" w:rsidRP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systemy pomp infuzyjnych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770B014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4D4749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0919AA3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CE62C9F" w14:textId="180054E6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Pomiar EKG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54A7539" w14:textId="6646522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4480050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3DEC124" w14:textId="77777777" w:rsidTr="00E14BE8">
        <w:tc>
          <w:tcPr>
            <w:tcW w:w="709" w:type="dxa"/>
            <w:vAlign w:val="center"/>
          </w:tcPr>
          <w:p w14:paraId="75B4BDB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72867F0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Monitorowanie i jednoczesne wyświetlanie min. od 1 do 12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EKG, z możliwością wyboru i programowania przez użytkownika.</w:t>
            </w:r>
          </w:p>
        </w:tc>
        <w:tc>
          <w:tcPr>
            <w:tcW w:w="1701" w:type="dxa"/>
            <w:vAlign w:val="center"/>
          </w:tcPr>
          <w:p w14:paraId="7CCD70FD" w14:textId="6F7DCA0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EC3C8B" w14:textId="77777777" w:rsidTr="00E14BE8">
        <w:tc>
          <w:tcPr>
            <w:tcW w:w="709" w:type="dxa"/>
            <w:vAlign w:val="center"/>
          </w:tcPr>
          <w:p w14:paraId="53A4688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4AC176E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pomiaru rytmu serca z sygnału EKG min. od 15 do 350 [ud./min.] z dokładnością min. +/- 1% w całym zakresie pomiarowym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47B504" w14:textId="3D2C87B1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A89EE4A" w14:textId="77777777" w:rsidTr="00E14BE8">
        <w:tc>
          <w:tcPr>
            <w:tcW w:w="709" w:type="dxa"/>
            <w:vAlign w:val="center"/>
          </w:tcPr>
          <w:p w14:paraId="27DB89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0FA348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Analiza odcinka ST we wszystkich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. Zakres pomiaru minimum -2,0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/+2,0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92B7C4" w14:textId="449B236A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88577" w14:textId="77777777" w:rsidTr="00E14BE8">
        <w:tc>
          <w:tcPr>
            <w:tcW w:w="709" w:type="dxa"/>
            <w:vAlign w:val="center"/>
          </w:tcPr>
          <w:p w14:paraId="7887784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4CFCF4E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 przekroczenia ustalonego zakresu wartości zmian ST w wybranym odprowadzeniu z możliwością definiowania tego zakresu. </w:t>
            </w:r>
          </w:p>
        </w:tc>
        <w:tc>
          <w:tcPr>
            <w:tcW w:w="1701" w:type="dxa"/>
            <w:vAlign w:val="center"/>
          </w:tcPr>
          <w:p w14:paraId="7C5E938A" w14:textId="622E6BC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D2A09" w14:textId="77777777" w:rsidTr="00E14BE8">
        <w:tc>
          <w:tcPr>
            <w:tcW w:w="709" w:type="dxa"/>
            <w:vAlign w:val="center"/>
          </w:tcPr>
          <w:p w14:paraId="5C84F98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1F4C168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Monitor wyposażony w klasyfikację minimum 24 różnych rodzajów zaburzeń rytmu wraz z alarmami</w:t>
            </w:r>
          </w:p>
        </w:tc>
        <w:tc>
          <w:tcPr>
            <w:tcW w:w="1701" w:type="dxa"/>
            <w:vAlign w:val="center"/>
          </w:tcPr>
          <w:p w14:paraId="18CEE886" w14:textId="3CC7471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BB0A7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9D71091" w14:textId="77777777" w:rsidTr="00E14BE8">
        <w:tc>
          <w:tcPr>
            <w:tcW w:w="709" w:type="dxa"/>
            <w:vAlign w:val="center"/>
          </w:tcPr>
          <w:p w14:paraId="1092549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29BF342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rekonstruowanego pomiaru 12-to odprowadzeniowego EKG w przypadku podłączenia 5-ciu i 6 elektrod rejestrujących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CCA74F" w14:textId="1F1E4AB8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8A02D6" w14:textId="77777777" w:rsidTr="00E14BE8">
        <w:tc>
          <w:tcPr>
            <w:tcW w:w="709" w:type="dxa"/>
            <w:vAlign w:val="center"/>
          </w:tcPr>
          <w:p w14:paraId="3AA3424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3248BB" w14:textId="54A38DF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 odcinka QT/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QTc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we wszystkich monitorowanych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1CE47B" w14:textId="4AACCC8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8E0C404" w14:textId="77777777" w:rsidTr="00E14BE8">
        <w:tc>
          <w:tcPr>
            <w:tcW w:w="709" w:type="dxa"/>
            <w:vAlign w:val="center"/>
          </w:tcPr>
          <w:p w14:paraId="3B9B82F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616831" w14:textId="42A07EF0" w:rsidR="0099449E" w:rsidRPr="00274E38" w:rsidRDefault="0099449E" w:rsidP="001F1AA2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odcinka ST z prezentacją graficzną zmian ST na wykresach kołowych. Funkcja 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gromadzi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pomiary odcinka ST oraz trendy uzyskane z pomiarów w płaszczyźnie pionowej (odprowadzenia kończynowe) i poziomej (odprowadzenia</w:t>
            </w:r>
            <w:r w:rsidR="001F1AA2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przedsercowe)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09741DBF" w14:textId="77777777" w:rsidR="00593C61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Możliwość wyboru referencyjnego poziomu wyjściowego. </w:t>
            </w:r>
          </w:p>
          <w:p w14:paraId="05E72268" w14:textId="240D15AC" w:rsidR="0099449E" w:rsidRPr="00274E38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Możliwość użycia przewodu 5-, 6- i 10-cio odprowadzeniowego EKG dla uzyskania pełnego obrazu 12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odprowadzeń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EKG.</w:t>
            </w:r>
            <w:r w:rsidRPr="00274E38">
              <w:rPr>
                <w:rFonts w:ascii="Calibri" w:hAnsi="Calibri" w:cs="Calibri"/>
                <w:sz w:val="20"/>
                <w:szCs w:val="20"/>
              </w:rPr>
              <w:br/>
              <w:t xml:space="preserve">Funkcja </w:t>
            </w:r>
            <w:r w:rsidR="00593C61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udostępnia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również wizualną mapę granic STEMI na podstawie zaleceń dotyczących pomiaru uniesienia odcinka ST (STE) opublikowanych w wytycznych AHA/ESC.</w:t>
            </w:r>
          </w:p>
          <w:p w14:paraId="57FC128C" w14:textId="25053CE8" w:rsidR="0099449E" w:rsidRPr="00274E38" w:rsidRDefault="0099449E" w:rsidP="001F1A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prezentacji ww. funkcjonalności na ekranie monitora i stacji centralnego monitorowania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C60765F" w14:textId="622F10D0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7B728AF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1CCACEA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4125037" w14:textId="3E6E10D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respiracji metodą impedancji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D9C4B8F" w14:textId="490A5A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00B974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E458E3B" w14:textId="77777777" w:rsidTr="00E14BE8">
        <w:tc>
          <w:tcPr>
            <w:tcW w:w="709" w:type="dxa"/>
            <w:vAlign w:val="center"/>
          </w:tcPr>
          <w:p w14:paraId="18A063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5459322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Wyświetlana wartość cyfrowa wraz z falą oddechu </w:t>
            </w:r>
          </w:p>
        </w:tc>
        <w:tc>
          <w:tcPr>
            <w:tcW w:w="1701" w:type="dxa"/>
            <w:vAlign w:val="center"/>
          </w:tcPr>
          <w:p w14:paraId="0F046EE3" w14:textId="48DDBF1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1A5B3D4" w14:textId="77777777" w:rsidTr="00E14BE8">
        <w:tc>
          <w:tcPr>
            <w:tcW w:w="709" w:type="dxa"/>
            <w:vAlign w:val="center"/>
          </w:tcPr>
          <w:p w14:paraId="1D6E301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245ABE6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Minimalny zakres pomiarowy od 1 do 160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="004F18C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Dokładność pomiaru częstości oddechów w zakresie od 1 do 120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60790">
              <w:rPr>
                <w:rFonts w:ascii="Calibri" w:hAnsi="Calibri" w:cs="Calibri"/>
                <w:sz w:val="20"/>
                <w:szCs w:val="20"/>
              </w:rPr>
              <w:t xml:space="preserve">(dopuszczalne różnice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+/-1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  <w:r w:rsidR="00A60790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C45609F" w14:textId="355A13D3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98815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7CE2F4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6CF096B7" w14:textId="6DAC8DCD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4D2EE5A" w14:textId="74E0314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ciśnienia metodą nieinwazyjną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B0EE6EA" w14:textId="3A92F6AF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5BD47EB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E530094" w14:textId="77777777" w:rsidTr="00E14BE8">
        <w:tc>
          <w:tcPr>
            <w:tcW w:w="709" w:type="dxa"/>
            <w:vAlign w:val="center"/>
          </w:tcPr>
          <w:p w14:paraId="271B89A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57A7E2" w14:textId="77777777" w:rsidR="004F18C5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Pomiar na żądanie, automatycznie w wybranych odstępach czasowych, ciągłe pomiary przez określony czas. </w:t>
            </w:r>
          </w:p>
          <w:p w14:paraId="6F145A92" w14:textId="615C9F49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Czas repetycji pomiarów automatycznych min. od 1 do 24 godzin. </w:t>
            </w:r>
          </w:p>
          <w:p w14:paraId="667C8B6E" w14:textId="7AE375D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Funkcja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stazy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– utrzymania ciśnienia w mankiecie.</w:t>
            </w:r>
          </w:p>
        </w:tc>
        <w:tc>
          <w:tcPr>
            <w:tcW w:w="1701" w:type="dxa"/>
            <w:vAlign w:val="center"/>
          </w:tcPr>
          <w:p w14:paraId="52FDEAE7" w14:textId="20A706B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2987F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7FE298A" w14:textId="77777777" w:rsidTr="00E14BE8">
        <w:tc>
          <w:tcPr>
            <w:tcW w:w="709" w:type="dxa"/>
            <w:vAlign w:val="center"/>
          </w:tcPr>
          <w:p w14:paraId="1149F7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2DB5F8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Wyświetlanie wartości skurczowej, rozkurczowej, średniej cały czas do kolejnego pomiaru. </w:t>
            </w:r>
          </w:p>
          <w:p w14:paraId="5DA5B2EA" w14:textId="0BAAA95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Wyświetlanie min. 3 ostatnich wyników pomiarowych ma ekranie głównym obok aktualnie mierzonych wartości.</w:t>
            </w:r>
          </w:p>
        </w:tc>
        <w:tc>
          <w:tcPr>
            <w:tcW w:w="1701" w:type="dxa"/>
            <w:vAlign w:val="center"/>
          </w:tcPr>
          <w:p w14:paraId="38CD9C31" w14:textId="3205AD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3C8CAB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C8C5FB6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20409506" w14:textId="681E769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saturacji SpO2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8A1BABA" w14:textId="7725429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F85709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DE021C" w14:textId="77777777" w:rsidTr="00E14BE8">
        <w:tc>
          <w:tcPr>
            <w:tcW w:w="709" w:type="dxa"/>
            <w:vAlign w:val="center"/>
          </w:tcPr>
          <w:p w14:paraId="76ED711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55D6BB4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saturacji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70 do 100% z dokładnością min. +/- 3%</w:t>
            </w:r>
          </w:p>
        </w:tc>
        <w:tc>
          <w:tcPr>
            <w:tcW w:w="1701" w:type="dxa"/>
            <w:vAlign w:val="center"/>
          </w:tcPr>
          <w:p w14:paraId="4EBF6571" w14:textId="58E4688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FEC81E4" w14:textId="77777777" w:rsidTr="00E14BE8">
        <w:tc>
          <w:tcPr>
            <w:tcW w:w="709" w:type="dxa"/>
            <w:vAlign w:val="center"/>
          </w:tcPr>
          <w:p w14:paraId="0603CDE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53C7A9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tętna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30 do 300 z dokładnością min. ±2% lub 1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5E19AABF" w14:textId="059BF0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16662" w14:textId="77777777" w:rsidTr="00E14BE8">
        <w:tc>
          <w:tcPr>
            <w:tcW w:w="709" w:type="dxa"/>
            <w:vAlign w:val="center"/>
          </w:tcPr>
          <w:p w14:paraId="15A4B2F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73B0F5" w14:textId="7323AF9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Wyświetlane wartości cyfrowe saturacji i tętna oraz krzywa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pletyzmograficzna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 Wskaźnik perfuzji w formie cyfrowej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3589C6A" w14:textId="4A0F796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4A80A4" w14:textId="77777777" w:rsidTr="00E14BE8">
        <w:tc>
          <w:tcPr>
            <w:tcW w:w="709" w:type="dxa"/>
            <w:vAlign w:val="center"/>
          </w:tcPr>
          <w:p w14:paraId="4B518A2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2ED29E" w14:textId="3B13303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Algorytm pomiarowy odporny na niską perfuzję i artefakty ruchowe 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4EB070A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B85DE93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435E22E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232C6F0" w14:textId="2FA08AF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temperatury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2106E94A" w14:textId="3485414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2130785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85F52D" w14:textId="77777777" w:rsidTr="00E14BE8">
        <w:tc>
          <w:tcPr>
            <w:tcW w:w="709" w:type="dxa"/>
            <w:vAlign w:val="center"/>
          </w:tcPr>
          <w:p w14:paraId="038DDF1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B42AED" w14:textId="2312E29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temperatury</w:t>
            </w:r>
            <w:r w:rsidR="00C91525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zakres pomiarowy minimum od 0 do 45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C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proofErr w:type="spellEnd"/>
          </w:p>
        </w:tc>
        <w:tc>
          <w:tcPr>
            <w:tcW w:w="1701" w:type="dxa"/>
            <w:vAlign w:val="center"/>
          </w:tcPr>
          <w:p w14:paraId="3EDFC16E" w14:textId="5F03D7DF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0C723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32EACE6" w14:textId="77777777" w:rsidTr="00E14BE8">
        <w:tc>
          <w:tcPr>
            <w:tcW w:w="709" w:type="dxa"/>
            <w:vAlign w:val="center"/>
          </w:tcPr>
          <w:p w14:paraId="771BB9B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01FFA" w14:textId="268B947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Dokładność pomiaru temperatury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przynajmniej +/- 0,1°C</w:t>
            </w:r>
          </w:p>
        </w:tc>
        <w:tc>
          <w:tcPr>
            <w:tcW w:w="1701" w:type="dxa"/>
            <w:vAlign w:val="center"/>
          </w:tcPr>
          <w:p w14:paraId="68C7C81B" w14:textId="31E15F3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54B19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C497412" w14:textId="77777777" w:rsidTr="00E14BE8">
        <w:tc>
          <w:tcPr>
            <w:tcW w:w="709" w:type="dxa"/>
            <w:vAlign w:val="center"/>
          </w:tcPr>
          <w:p w14:paraId="14989F2D" w14:textId="77777777" w:rsidR="00CE2DB4" w:rsidRPr="00274E38" w:rsidRDefault="00CE2DB4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1F43BC" w14:textId="06EEEA74" w:rsidR="00CE2DB4" w:rsidRPr="00274E38" w:rsidRDefault="00655E33" w:rsidP="009944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ozbudow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monitora o pomiar temperatury przewidywanej w technologii Welch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Allyn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SureTemp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Plus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 lub równoważnej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, która pozwala na użycie sond ustnej/pachowej i doodbytniczej. Rozbudowa możliwa bez udziału serwisu, poprzez podłączenie modułu do odpowiedniego złącza.</w:t>
            </w:r>
          </w:p>
        </w:tc>
        <w:tc>
          <w:tcPr>
            <w:tcW w:w="1701" w:type="dxa"/>
            <w:vAlign w:val="center"/>
          </w:tcPr>
          <w:p w14:paraId="50765A96" w14:textId="46443A56" w:rsidR="00CE2DB4" w:rsidRPr="00274E38" w:rsidRDefault="00CE2DB4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77E1DC8" w14:textId="77777777" w:rsidR="00CE2DB4" w:rsidRPr="00274E38" w:rsidRDefault="00CE2DB4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1987C4C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49B187B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D070BAF" w14:textId="3CFF963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Inwazyjny pomiar ciśnienia krwi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2583316" w14:textId="027DF0A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CAC85D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99FA8BB" w14:textId="77777777" w:rsidTr="00E14BE8">
        <w:tc>
          <w:tcPr>
            <w:tcW w:w="709" w:type="dxa"/>
            <w:vAlign w:val="center"/>
          </w:tcPr>
          <w:p w14:paraId="31E569F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1F1A52" w14:textId="1161B9D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Inwazyjny pomiar ciśnienia min. jednokanałowy. Minimalny zakres pomiarowy ciśnienia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od –40 do +330 mmHg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41A3B7" w14:textId="1DA74DB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E2DB4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327AD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21F786" w14:textId="77777777" w:rsidTr="00E14BE8">
        <w:trPr>
          <w:trHeight w:val="535"/>
        </w:trPr>
        <w:tc>
          <w:tcPr>
            <w:tcW w:w="709" w:type="dxa"/>
            <w:vAlign w:val="center"/>
          </w:tcPr>
          <w:p w14:paraId="4D18D5F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D44761" w14:textId="6D22E4D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pomiaru i wyboru nazw różnych ciśnień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C3435C" w14:textId="079614D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FBE23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EF736" w14:textId="77777777" w:rsidTr="00526993">
        <w:trPr>
          <w:trHeight w:val="698"/>
        </w:trPr>
        <w:tc>
          <w:tcPr>
            <w:tcW w:w="709" w:type="dxa"/>
            <w:vAlign w:val="center"/>
          </w:tcPr>
          <w:p w14:paraId="0721BB9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25E5D2" w14:textId="7B8D74D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pulsu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 zakresie min. 30-300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</w:p>
        </w:tc>
        <w:tc>
          <w:tcPr>
            <w:tcW w:w="1701" w:type="dxa"/>
            <w:vAlign w:val="center"/>
          </w:tcPr>
          <w:p w14:paraId="2CEE86F3" w14:textId="09ADFBE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BF41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5FADD61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8DEBAC4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3AFB456" w14:textId="0E97741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Akcesoria pomiarowe: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6A63DDA" w14:textId="1343EF2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29FC2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8C9C19B" w14:textId="77777777" w:rsidTr="00E14BE8">
        <w:tc>
          <w:tcPr>
            <w:tcW w:w="709" w:type="dxa"/>
            <w:vAlign w:val="center"/>
          </w:tcPr>
          <w:p w14:paraId="540B96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886EE6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Na wyposażeniu muszą znajdować się co najmniej następujące akcesoria pomiarowe:</w:t>
            </w:r>
          </w:p>
          <w:p w14:paraId="0E8AAAC7" w14:textId="15634153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wielorazowy przewód EKG 5 odprowadzeniowy, krokodylek (końcówki odłączane od przewodu głównego) x 1 szt.</w:t>
            </w:r>
          </w:p>
          <w:p w14:paraId="11C3DE58" w14:textId="41383D15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wężyk do podłączenia mankietów do nieinwazyjnego pomiaru ciśnienia krwi x 1 szt.</w:t>
            </w:r>
          </w:p>
          <w:p w14:paraId="29111EFA" w14:textId="18E8DD66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standard x 1 szt. </w:t>
            </w:r>
          </w:p>
          <w:p w14:paraId="2F05C750" w14:textId="27276471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duży x 1 </w:t>
            </w:r>
            <w:proofErr w:type="spellStart"/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szt</w:t>
            </w:r>
            <w:proofErr w:type="spellEnd"/>
          </w:p>
          <w:p w14:paraId="3282426A" w14:textId="00EB1322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czujnik do pomiaru SpO2, na palec x 1 szt</w:t>
            </w:r>
            <w:r w:rsidR="00054744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5BA7D189" w14:textId="4319D53D" w:rsidR="001F1AA2" w:rsidRPr="00054744" w:rsidRDefault="0099449E" w:rsidP="00054744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wielorazowy przewód do inwazyjnego pomiaru ciśnienia krwi x </w:t>
            </w:r>
            <w:r w:rsidR="00054744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>1</w:t>
            </w: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14:paraId="501E5D85" w14:textId="5A3B64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E14BE8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F68E9C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0A88759" w14:textId="77777777" w:rsidTr="00E14BE8">
        <w:tc>
          <w:tcPr>
            <w:tcW w:w="709" w:type="dxa"/>
            <w:vAlign w:val="center"/>
          </w:tcPr>
          <w:p w14:paraId="1E856A5A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C8B760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System montażu monitora:</w:t>
            </w:r>
          </w:p>
          <w:p w14:paraId="7F4DB28B" w14:textId="56BA1D0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Zawieszenie umożliwiające stabilne przymocowanie monitora na </w:t>
            </w:r>
            <w:r w:rsidR="00054744">
              <w:rPr>
                <w:rFonts w:ascii="Calibri" w:hAnsi="Calibri" w:cs="Calibri"/>
                <w:sz w:val="20"/>
                <w:szCs w:val="20"/>
              </w:rPr>
              <w:t>wózku jezdnym</w:t>
            </w:r>
          </w:p>
        </w:tc>
        <w:tc>
          <w:tcPr>
            <w:tcW w:w="1701" w:type="dxa"/>
            <w:vAlign w:val="center"/>
          </w:tcPr>
          <w:p w14:paraId="62C77302" w14:textId="3908B88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93FE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08D0CCD" w14:textId="77777777" w:rsidTr="00E14BE8">
        <w:trPr>
          <w:trHeight w:val="367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BFDB097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E6C6334" w14:textId="140B6C42" w:rsidR="0099449E" w:rsidRPr="00274E38" w:rsidRDefault="00CE2DB4" w:rsidP="0099449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F268D44" w14:textId="5DDBF5BB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65065F9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E2DB4" w:rsidRPr="00274E38" w14:paraId="4DD61C80" w14:textId="77777777" w:rsidTr="00E14BE8">
        <w:tc>
          <w:tcPr>
            <w:tcW w:w="709" w:type="dxa"/>
            <w:vAlign w:val="center"/>
          </w:tcPr>
          <w:p w14:paraId="49A11F7D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41C957" w14:textId="3CF98E0F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</w:t>
            </w:r>
            <w:r w:rsidR="00C10B96">
              <w:rPr>
                <w:rFonts w:ascii="Calibri" w:hAnsi="Calibri" w:cs="Calibri"/>
                <w:sz w:val="20"/>
                <w:szCs w:val="20"/>
              </w:rPr>
              <w:t>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84 miesiące</w:t>
            </w:r>
          </w:p>
        </w:tc>
        <w:tc>
          <w:tcPr>
            <w:tcW w:w="1701" w:type="dxa"/>
            <w:vAlign w:val="center"/>
          </w:tcPr>
          <w:p w14:paraId="07D5DAA9" w14:textId="1D4FF94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23246E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F280F43" w14:textId="77777777" w:rsidTr="00E14BE8">
        <w:tc>
          <w:tcPr>
            <w:tcW w:w="709" w:type="dxa"/>
            <w:vAlign w:val="center"/>
          </w:tcPr>
          <w:p w14:paraId="08F322E9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8EF951" w14:textId="4CCBA579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Gwarancja na akumulatory i akcesoria pomiarowe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12 miesięcy</w:t>
            </w:r>
          </w:p>
        </w:tc>
        <w:tc>
          <w:tcPr>
            <w:tcW w:w="1701" w:type="dxa"/>
            <w:vAlign w:val="center"/>
          </w:tcPr>
          <w:p w14:paraId="71FF8CDD" w14:textId="1816662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CBDE9C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F8CDB4C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55E467F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C34FF9" w14:textId="2F4BDA68" w:rsidR="00CE2DB4" w:rsidRPr="00274E38" w:rsidRDefault="00152A63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Serwis gwarancyjny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obejmując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konserwację, aktualizację oprogramowania</w:t>
            </w:r>
          </w:p>
        </w:tc>
        <w:tc>
          <w:tcPr>
            <w:tcW w:w="1701" w:type="dxa"/>
            <w:vAlign w:val="center"/>
          </w:tcPr>
          <w:p w14:paraId="6BDFFB7D" w14:textId="3A43705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BFEA51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10B6CBE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415D492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CC1E5B" w14:textId="4E58A04C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 ramach dostawy zapewniony zostanie zdalny dostęp do specjalisty, który dokonywać będzie diagnozy zaistniałych problemów</w:t>
            </w:r>
          </w:p>
        </w:tc>
        <w:tc>
          <w:tcPr>
            <w:tcW w:w="1701" w:type="dxa"/>
            <w:vAlign w:val="center"/>
          </w:tcPr>
          <w:p w14:paraId="5BB563F2" w14:textId="5BF5890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C8216A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5CE4C309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D31B932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9A983E" w14:textId="5E3B8733" w:rsidR="00CE2DB4" w:rsidRPr="00274E38" w:rsidRDefault="00CE2DB4" w:rsidP="00445C4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Aktualizacja oprogramowania i instalacje poprawek do oprogramowania</w:t>
            </w:r>
            <w:r w:rsidR="00445C40">
              <w:rPr>
                <w:rFonts w:ascii="Calibri" w:hAnsi="Calibri" w:cs="Calibri"/>
                <w:sz w:val="20"/>
                <w:szCs w:val="20"/>
              </w:rPr>
              <w:t>: p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rzez cały oferowany okres gwarancji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 zostanie za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pewniony dostęp do najnowszych istniejących licencji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oprogramowanie, w tym na instalację nowych wersji oprogramowania i instalacje poprawek do oprogramowania </w:t>
            </w:r>
          </w:p>
        </w:tc>
        <w:tc>
          <w:tcPr>
            <w:tcW w:w="1701" w:type="dxa"/>
            <w:vAlign w:val="center"/>
          </w:tcPr>
          <w:p w14:paraId="40CF5DA3" w14:textId="6539207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E480B4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37E7565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1624940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27E175" w14:textId="34D80226" w:rsidR="00445C40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usunięcia usterki: nie dłużej niż 3 dni robocze od dnia zgłoszenia awarii bez części lub do 5 dni roboczych, gdy zachodzi konieczność sprowadzenia części zamiennych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,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w godzinach od 8.00 do 18.00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901C6" w:rsidRPr="00B901C6">
              <w:rPr>
                <w:rFonts w:ascii="Calibri" w:hAnsi="Calibri" w:cs="Calibri"/>
                <w:sz w:val="20"/>
                <w:szCs w:val="20"/>
              </w:rPr>
              <w:t>W przypadku braku możliwości usunięcia wady lub usterki w terminach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 wskazanych powyżej</w:t>
            </w:r>
          </w:p>
          <w:p w14:paraId="144F600E" w14:textId="282F98AB" w:rsidR="00CE2DB4" w:rsidRPr="00274E38" w:rsidRDefault="00B901C6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ostawca 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>zobowiązuje się do instalacji w miejscu realizacji umowy urządzenia zastępczego, na czas naprawy urządzenia. Urządzenie zastępcze będzie odpowiadało parametr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om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 xml:space="preserve"> technicznym urządze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nia, które zastępuje</w:t>
            </w:r>
          </w:p>
        </w:tc>
        <w:tc>
          <w:tcPr>
            <w:tcW w:w="1701" w:type="dxa"/>
            <w:vAlign w:val="center"/>
          </w:tcPr>
          <w:p w14:paraId="4424C391" w14:textId="3EFCC408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16F5A48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403CF33C" w14:textId="77777777" w:rsidTr="00E14BE8">
        <w:trPr>
          <w:trHeight w:val="669"/>
        </w:trPr>
        <w:tc>
          <w:tcPr>
            <w:tcW w:w="709" w:type="dxa"/>
            <w:vAlign w:val="center"/>
          </w:tcPr>
          <w:p w14:paraId="55E6020E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B23465F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reakcji serwisu na miejscu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: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24 godzin od momentu zgłoszenia w dni robocze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w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godz. od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8</w:t>
            </w:r>
            <w:r w:rsidR="00E07536">
              <w:rPr>
                <w:rFonts w:ascii="Calibri" w:hAnsi="Calibri" w:cs="Calibri"/>
                <w:sz w:val="20"/>
                <w:szCs w:val="20"/>
              </w:rPr>
              <w:t>:00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="00E07536">
              <w:rPr>
                <w:rFonts w:ascii="Calibri" w:hAnsi="Calibri" w:cs="Calibri"/>
                <w:sz w:val="20"/>
                <w:szCs w:val="20"/>
              </w:rPr>
              <w:t>18:00.</w:t>
            </w:r>
          </w:p>
        </w:tc>
        <w:tc>
          <w:tcPr>
            <w:tcW w:w="1701" w:type="dxa"/>
            <w:vAlign w:val="center"/>
          </w:tcPr>
          <w:p w14:paraId="67708833" w14:textId="546917B6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25E7DD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419A631" w14:textId="77777777" w:rsidTr="00E14BE8">
        <w:trPr>
          <w:trHeight w:val="848"/>
        </w:trPr>
        <w:tc>
          <w:tcPr>
            <w:tcW w:w="709" w:type="dxa"/>
            <w:vAlign w:val="center"/>
          </w:tcPr>
          <w:p w14:paraId="04329EFD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BF7869" w14:textId="38E68A5A" w:rsidR="00CE2DB4" w:rsidRPr="00FC1B27" w:rsidRDefault="00CE2DB4" w:rsidP="00CE2DB4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 xml:space="preserve">Wykonawca przekaże urządzenie do eksploatacji ze wszystkimi niezbędnymi dokumentami,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takimi jak:</w:t>
            </w:r>
          </w:p>
          <w:p w14:paraId="5D1E93BF" w14:textId="77777777" w:rsidR="00445C40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paszport techniczny,</w:t>
            </w:r>
          </w:p>
          <w:p w14:paraId="250A0FD3" w14:textId="73D2128D" w:rsidR="00CE2DB4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instrukcja obsługi</w:t>
            </w:r>
            <w:r w:rsidR="009746CA" w:rsidRPr="00FC1B27">
              <w:rPr>
                <w:rFonts w:ascii="Calibri" w:hAnsi="Calibri" w:cs="Calibri"/>
                <w:sz w:val="20"/>
                <w:szCs w:val="20"/>
              </w:rPr>
              <w:t xml:space="preserve"> w języku polskim</w:t>
            </w:r>
          </w:p>
        </w:tc>
        <w:tc>
          <w:tcPr>
            <w:tcW w:w="1701" w:type="dxa"/>
            <w:vAlign w:val="center"/>
          </w:tcPr>
          <w:p w14:paraId="0E0DE92C" w14:textId="6A376013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6B6F674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60BAED5" w14:textId="77777777" w:rsidTr="00E14BE8">
        <w:trPr>
          <w:trHeight w:val="848"/>
        </w:trPr>
        <w:tc>
          <w:tcPr>
            <w:tcW w:w="709" w:type="dxa"/>
            <w:vAlign w:val="center"/>
          </w:tcPr>
          <w:p w14:paraId="49BDDDCB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F28692" w14:textId="6F64B160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dla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osób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przez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godzin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5A215000" w14:textId="2C4FCCF0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06FC59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274E38" w14:paraId="29E0B866" w14:textId="77777777" w:rsidTr="00B94B8D">
        <w:tc>
          <w:tcPr>
            <w:tcW w:w="2977" w:type="dxa"/>
          </w:tcPr>
          <w:p w14:paraId="475BDAAB" w14:textId="77777777" w:rsidR="005119F3" w:rsidRPr="00274E3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274E38" w14:paraId="3262D8E0" w14:textId="77777777" w:rsidTr="00B94B8D">
        <w:tc>
          <w:tcPr>
            <w:tcW w:w="2977" w:type="dxa"/>
            <w:hideMark/>
          </w:tcPr>
          <w:p w14:paraId="2D0EF893" w14:textId="437554B5" w:rsidR="005119F3" w:rsidRPr="00274E3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274E3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274E3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274E3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1A8E6" w14:textId="77777777" w:rsidR="00DE02FC" w:rsidRPr="00E14BE8" w:rsidRDefault="00DE02FC" w:rsidP="0067003B">
      <w:pPr>
        <w:spacing w:line="240" w:lineRule="auto"/>
      </w:pPr>
      <w:r w:rsidRPr="00E14BE8">
        <w:separator/>
      </w:r>
    </w:p>
  </w:endnote>
  <w:endnote w:type="continuationSeparator" w:id="0">
    <w:p w14:paraId="6F47090C" w14:textId="77777777" w:rsidR="00DE02FC" w:rsidRPr="00E14BE8" w:rsidRDefault="00DE02FC" w:rsidP="0067003B">
      <w:pPr>
        <w:spacing w:line="240" w:lineRule="auto"/>
      </w:pPr>
      <w:r w:rsidRPr="00E14BE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56D5A" w14:textId="77777777" w:rsidR="00DE02FC" w:rsidRPr="00E14BE8" w:rsidRDefault="00DE02FC" w:rsidP="0067003B">
      <w:pPr>
        <w:spacing w:line="240" w:lineRule="auto"/>
      </w:pPr>
      <w:r w:rsidRPr="00E14BE8">
        <w:separator/>
      </w:r>
    </w:p>
  </w:footnote>
  <w:footnote w:type="continuationSeparator" w:id="0">
    <w:p w14:paraId="61130C70" w14:textId="77777777" w:rsidR="00DE02FC" w:rsidRPr="00E14BE8" w:rsidRDefault="00DE02FC" w:rsidP="0067003B">
      <w:pPr>
        <w:spacing w:line="240" w:lineRule="auto"/>
      </w:pPr>
      <w:r w:rsidRPr="00E14BE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626E" w14:textId="00896C39" w:rsidR="00417F97" w:rsidRDefault="00417F97" w:rsidP="00417F97">
    <w:pPr>
      <w:pStyle w:val="Nagwek"/>
    </w:pPr>
    <w:r w:rsidRPr="00FD6B0D">
      <w:rPr>
        <w:noProof/>
      </w:rPr>
      <w:drawing>
        <wp:inline distT="0" distB="0" distL="0" distR="0" wp14:anchorId="71F22FF3" wp14:editId="71F28947">
          <wp:extent cx="5760720" cy="586740"/>
          <wp:effectExtent l="0" t="0" r="0" b="3810"/>
          <wp:docPr id="181869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64783" w14:textId="77777777" w:rsidR="00417F97" w:rsidRDefault="00417F97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021120F7" w:rsidR="0067003B" w:rsidRPr="00E14B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14BE8">
      <w:rPr>
        <w:rFonts w:ascii="Calibri" w:hAnsi="Calibri" w:cs="Calibri"/>
        <w:sz w:val="16"/>
        <w:szCs w:val="16"/>
      </w:rPr>
      <w:t xml:space="preserve">Załącznik nr </w:t>
    </w:r>
    <w:r w:rsidR="00EF613E">
      <w:rPr>
        <w:rFonts w:ascii="Calibri" w:hAnsi="Calibri" w:cs="Calibri"/>
        <w:sz w:val="16"/>
        <w:szCs w:val="16"/>
      </w:rPr>
      <w:t>1</w:t>
    </w:r>
    <w:r w:rsidR="00EF613E" w:rsidRPr="00E14BE8">
      <w:rPr>
        <w:rFonts w:ascii="Calibri" w:hAnsi="Calibri" w:cs="Calibri"/>
        <w:sz w:val="16"/>
        <w:szCs w:val="16"/>
      </w:rPr>
      <w:t xml:space="preserve"> </w:t>
    </w:r>
    <w:r w:rsidRPr="00E14BE8">
      <w:rPr>
        <w:rFonts w:ascii="Calibri" w:hAnsi="Calibri" w:cs="Calibri"/>
        <w:sz w:val="16"/>
        <w:szCs w:val="16"/>
      </w:rPr>
      <w:t xml:space="preserve">do zapytania ofertowego </w:t>
    </w:r>
    <w:r w:rsidR="004F4563" w:rsidRPr="00E14BE8">
      <w:rPr>
        <w:rFonts w:ascii="Calibri" w:hAnsi="Calibri" w:cs="Calibri"/>
        <w:sz w:val="16"/>
        <w:szCs w:val="16"/>
      </w:rPr>
      <w:t>nr</w:t>
    </w:r>
    <w:r w:rsidR="004D2992">
      <w:rPr>
        <w:rFonts w:ascii="Calibri" w:hAnsi="Calibri" w:cs="Calibri"/>
        <w:sz w:val="16"/>
        <w:szCs w:val="16"/>
      </w:rPr>
      <w:t xml:space="preserve"> </w:t>
    </w:r>
    <w:r w:rsidR="00417F97">
      <w:rPr>
        <w:rFonts w:ascii="Calibri" w:hAnsi="Calibri" w:cs="Calibri"/>
        <w:sz w:val="16"/>
        <w:szCs w:val="16"/>
      </w:rPr>
      <w:t>59/KAHP/2026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653A"/>
    <w:multiLevelType w:val="hybridMultilevel"/>
    <w:tmpl w:val="43C42448"/>
    <w:lvl w:ilvl="0" w:tplc="3B827498">
      <w:start w:val="1"/>
      <w:numFmt w:val="lowerLetter"/>
      <w:lvlText w:val="%1)"/>
      <w:lvlJc w:val="left"/>
      <w:pPr>
        <w:ind w:left="1020" w:hanging="360"/>
      </w:pPr>
    </w:lvl>
    <w:lvl w:ilvl="1" w:tplc="4CCCAB1E">
      <w:start w:val="1"/>
      <w:numFmt w:val="lowerLetter"/>
      <w:lvlText w:val="%2)"/>
      <w:lvlJc w:val="left"/>
      <w:pPr>
        <w:ind w:left="1020" w:hanging="360"/>
      </w:pPr>
    </w:lvl>
    <w:lvl w:ilvl="2" w:tplc="15803600">
      <w:start w:val="1"/>
      <w:numFmt w:val="lowerLetter"/>
      <w:lvlText w:val="%3)"/>
      <w:lvlJc w:val="left"/>
      <w:pPr>
        <w:ind w:left="1020" w:hanging="360"/>
      </w:pPr>
    </w:lvl>
    <w:lvl w:ilvl="3" w:tplc="FCB43122">
      <w:start w:val="1"/>
      <w:numFmt w:val="lowerLetter"/>
      <w:lvlText w:val="%4)"/>
      <w:lvlJc w:val="left"/>
      <w:pPr>
        <w:ind w:left="1020" w:hanging="360"/>
      </w:pPr>
    </w:lvl>
    <w:lvl w:ilvl="4" w:tplc="3F6A400A">
      <w:start w:val="1"/>
      <w:numFmt w:val="lowerLetter"/>
      <w:lvlText w:val="%5)"/>
      <w:lvlJc w:val="left"/>
      <w:pPr>
        <w:ind w:left="1020" w:hanging="360"/>
      </w:pPr>
    </w:lvl>
    <w:lvl w:ilvl="5" w:tplc="0E0E9AB6">
      <w:start w:val="1"/>
      <w:numFmt w:val="lowerLetter"/>
      <w:lvlText w:val="%6)"/>
      <w:lvlJc w:val="left"/>
      <w:pPr>
        <w:ind w:left="1020" w:hanging="360"/>
      </w:pPr>
    </w:lvl>
    <w:lvl w:ilvl="6" w:tplc="C55022E2">
      <w:start w:val="1"/>
      <w:numFmt w:val="lowerLetter"/>
      <w:lvlText w:val="%7)"/>
      <w:lvlJc w:val="left"/>
      <w:pPr>
        <w:ind w:left="1020" w:hanging="360"/>
      </w:pPr>
    </w:lvl>
    <w:lvl w:ilvl="7" w:tplc="9B2EA406">
      <w:start w:val="1"/>
      <w:numFmt w:val="lowerLetter"/>
      <w:lvlText w:val="%8)"/>
      <w:lvlJc w:val="left"/>
      <w:pPr>
        <w:ind w:left="1020" w:hanging="360"/>
      </w:pPr>
    </w:lvl>
    <w:lvl w:ilvl="8" w:tplc="FCDC236E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5C51FAB"/>
    <w:multiLevelType w:val="hybridMultilevel"/>
    <w:tmpl w:val="1A64D6C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061CC"/>
    <w:multiLevelType w:val="hybridMultilevel"/>
    <w:tmpl w:val="3DA09EE6"/>
    <w:lvl w:ilvl="0" w:tplc="608409DA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F2B3474"/>
    <w:multiLevelType w:val="hybridMultilevel"/>
    <w:tmpl w:val="6F62880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483C"/>
    <w:multiLevelType w:val="hybridMultilevel"/>
    <w:tmpl w:val="DAC2BD3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D77C0"/>
    <w:multiLevelType w:val="hybridMultilevel"/>
    <w:tmpl w:val="A2C84D3C"/>
    <w:lvl w:ilvl="0" w:tplc="67D6D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D885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48C7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38A4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5E40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894F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C47A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10AF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C70E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91D4585"/>
    <w:multiLevelType w:val="hybridMultilevel"/>
    <w:tmpl w:val="76A896A2"/>
    <w:lvl w:ilvl="0" w:tplc="DD128C0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 w15:restartNumberingAfterBreak="0">
    <w:nsid w:val="3CB4120B"/>
    <w:multiLevelType w:val="hybridMultilevel"/>
    <w:tmpl w:val="A6AC7E78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917EF"/>
    <w:multiLevelType w:val="hybridMultilevel"/>
    <w:tmpl w:val="B9DE0898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12159"/>
    <w:multiLevelType w:val="hybridMultilevel"/>
    <w:tmpl w:val="09FA296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90200"/>
    <w:multiLevelType w:val="hybridMultilevel"/>
    <w:tmpl w:val="E3A0ED6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BA47B68"/>
    <w:multiLevelType w:val="hybridMultilevel"/>
    <w:tmpl w:val="506C9AF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E168A"/>
    <w:multiLevelType w:val="hybridMultilevel"/>
    <w:tmpl w:val="A5682A4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DBA03ED"/>
    <w:multiLevelType w:val="hybridMultilevel"/>
    <w:tmpl w:val="8ADE039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72210"/>
    <w:multiLevelType w:val="hybridMultilevel"/>
    <w:tmpl w:val="F9C6A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1068A"/>
    <w:multiLevelType w:val="hybridMultilevel"/>
    <w:tmpl w:val="13307A7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01845"/>
    <w:multiLevelType w:val="hybridMultilevel"/>
    <w:tmpl w:val="BB58D4A4"/>
    <w:lvl w:ilvl="0" w:tplc="2CFAB7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9" w15:restartNumberingAfterBreak="0">
    <w:nsid w:val="7F9E27E0"/>
    <w:multiLevelType w:val="hybridMultilevel"/>
    <w:tmpl w:val="83C827EC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6"/>
  </w:num>
  <w:num w:numId="4">
    <w:abstractNumId w:val="13"/>
  </w:num>
  <w:num w:numId="5">
    <w:abstractNumId w:val="20"/>
  </w:num>
  <w:num w:numId="6">
    <w:abstractNumId w:val="23"/>
  </w:num>
  <w:num w:numId="7">
    <w:abstractNumId w:val="0"/>
  </w:num>
  <w:num w:numId="8">
    <w:abstractNumId w:val="22"/>
  </w:num>
  <w:num w:numId="9">
    <w:abstractNumId w:val="27"/>
  </w:num>
  <w:num w:numId="10">
    <w:abstractNumId w:val="28"/>
  </w:num>
  <w:num w:numId="11">
    <w:abstractNumId w:val="5"/>
  </w:num>
  <w:num w:numId="12">
    <w:abstractNumId w:val="2"/>
  </w:num>
  <w:num w:numId="13">
    <w:abstractNumId w:val="21"/>
  </w:num>
  <w:num w:numId="14">
    <w:abstractNumId w:val="11"/>
  </w:num>
  <w:num w:numId="15">
    <w:abstractNumId w:val="7"/>
  </w:num>
  <w:num w:numId="16">
    <w:abstractNumId w:val="18"/>
  </w:num>
  <w:num w:numId="17">
    <w:abstractNumId w:val="8"/>
  </w:num>
  <w:num w:numId="18">
    <w:abstractNumId w:val="9"/>
  </w:num>
  <w:num w:numId="19">
    <w:abstractNumId w:val="12"/>
  </w:num>
  <w:num w:numId="20">
    <w:abstractNumId w:val="17"/>
  </w:num>
  <w:num w:numId="21">
    <w:abstractNumId w:val="6"/>
  </w:num>
  <w:num w:numId="22">
    <w:abstractNumId w:val="19"/>
  </w:num>
  <w:num w:numId="23">
    <w:abstractNumId w:val="29"/>
  </w:num>
  <w:num w:numId="24">
    <w:abstractNumId w:val="24"/>
  </w:num>
  <w:num w:numId="25">
    <w:abstractNumId w:val="15"/>
  </w:num>
  <w:num w:numId="26">
    <w:abstractNumId w:val="25"/>
  </w:num>
  <w:num w:numId="27">
    <w:abstractNumId w:val="14"/>
  </w:num>
  <w:num w:numId="28">
    <w:abstractNumId w:val="16"/>
  </w:num>
  <w:num w:numId="29">
    <w:abstractNumId w:val="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54744"/>
    <w:rsid w:val="00087475"/>
    <w:rsid w:val="00092EAF"/>
    <w:rsid w:val="000B1D7D"/>
    <w:rsid w:val="000B22A0"/>
    <w:rsid w:val="000E1F85"/>
    <w:rsid w:val="00101EA0"/>
    <w:rsid w:val="00126466"/>
    <w:rsid w:val="001269C4"/>
    <w:rsid w:val="00141AED"/>
    <w:rsid w:val="00145C63"/>
    <w:rsid w:val="001463D5"/>
    <w:rsid w:val="00152A63"/>
    <w:rsid w:val="00163CB6"/>
    <w:rsid w:val="00165663"/>
    <w:rsid w:val="0016606D"/>
    <w:rsid w:val="001718A5"/>
    <w:rsid w:val="001750BF"/>
    <w:rsid w:val="00177426"/>
    <w:rsid w:val="00182BCA"/>
    <w:rsid w:val="00195095"/>
    <w:rsid w:val="001A1709"/>
    <w:rsid w:val="001B26A3"/>
    <w:rsid w:val="001D43B1"/>
    <w:rsid w:val="001D5E90"/>
    <w:rsid w:val="001E79AB"/>
    <w:rsid w:val="001F1AA2"/>
    <w:rsid w:val="001F6B85"/>
    <w:rsid w:val="00203D42"/>
    <w:rsid w:val="002248E8"/>
    <w:rsid w:val="0022765B"/>
    <w:rsid w:val="0023501F"/>
    <w:rsid w:val="00256106"/>
    <w:rsid w:val="00257C0A"/>
    <w:rsid w:val="002619FE"/>
    <w:rsid w:val="00274E38"/>
    <w:rsid w:val="0028289D"/>
    <w:rsid w:val="0028320A"/>
    <w:rsid w:val="002950BD"/>
    <w:rsid w:val="00297EC9"/>
    <w:rsid w:val="002A525A"/>
    <w:rsid w:val="002B14AA"/>
    <w:rsid w:val="002F53A5"/>
    <w:rsid w:val="00315410"/>
    <w:rsid w:val="00320C0D"/>
    <w:rsid w:val="003316C1"/>
    <w:rsid w:val="0034641B"/>
    <w:rsid w:val="003516C8"/>
    <w:rsid w:val="00353FB4"/>
    <w:rsid w:val="00391526"/>
    <w:rsid w:val="003961FE"/>
    <w:rsid w:val="003A4FE2"/>
    <w:rsid w:val="003A7B01"/>
    <w:rsid w:val="003B7108"/>
    <w:rsid w:val="003D3036"/>
    <w:rsid w:val="004074D9"/>
    <w:rsid w:val="00415DCC"/>
    <w:rsid w:val="00416B5B"/>
    <w:rsid w:val="00417F97"/>
    <w:rsid w:val="00423A29"/>
    <w:rsid w:val="0044119B"/>
    <w:rsid w:val="00445C40"/>
    <w:rsid w:val="004510E8"/>
    <w:rsid w:val="00452428"/>
    <w:rsid w:val="0045565D"/>
    <w:rsid w:val="00475C57"/>
    <w:rsid w:val="004903C0"/>
    <w:rsid w:val="00496BED"/>
    <w:rsid w:val="004B532B"/>
    <w:rsid w:val="004B7376"/>
    <w:rsid w:val="004D14B7"/>
    <w:rsid w:val="004D2992"/>
    <w:rsid w:val="004D4397"/>
    <w:rsid w:val="004D6D42"/>
    <w:rsid w:val="004F18C5"/>
    <w:rsid w:val="004F4563"/>
    <w:rsid w:val="004F7FC7"/>
    <w:rsid w:val="00503D7F"/>
    <w:rsid w:val="00505D90"/>
    <w:rsid w:val="005119F3"/>
    <w:rsid w:val="00525EDA"/>
    <w:rsid w:val="00526993"/>
    <w:rsid w:val="00532D55"/>
    <w:rsid w:val="005340B5"/>
    <w:rsid w:val="005430DB"/>
    <w:rsid w:val="00547308"/>
    <w:rsid w:val="005476EA"/>
    <w:rsid w:val="0058543F"/>
    <w:rsid w:val="00593C61"/>
    <w:rsid w:val="005C42D5"/>
    <w:rsid w:val="005D410C"/>
    <w:rsid w:val="005F3C77"/>
    <w:rsid w:val="00603CA0"/>
    <w:rsid w:val="00614642"/>
    <w:rsid w:val="00617942"/>
    <w:rsid w:val="00621BE1"/>
    <w:rsid w:val="00630726"/>
    <w:rsid w:val="00633180"/>
    <w:rsid w:val="006541E7"/>
    <w:rsid w:val="00655E33"/>
    <w:rsid w:val="0067003B"/>
    <w:rsid w:val="00673F17"/>
    <w:rsid w:val="00682779"/>
    <w:rsid w:val="006B0182"/>
    <w:rsid w:val="006C051C"/>
    <w:rsid w:val="006C6ED7"/>
    <w:rsid w:val="006E19E2"/>
    <w:rsid w:val="00702F24"/>
    <w:rsid w:val="00735BA9"/>
    <w:rsid w:val="00737F5F"/>
    <w:rsid w:val="00761115"/>
    <w:rsid w:val="0076322A"/>
    <w:rsid w:val="00765F31"/>
    <w:rsid w:val="00771145"/>
    <w:rsid w:val="00787ECC"/>
    <w:rsid w:val="00790FB2"/>
    <w:rsid w:val="007A4827"/>
    <w:rsid w:val="007A4CE7"/>
    <w:rsid w:val="007A604B"/>
    <w:rsid w:val="007A63B5"/>
    <w:rsid w:val="007B7526"/>
    <w:rsid w:val="007B77AC"/>
    <w:rsid w:val="007D7E23"/>
    <w:rsid w:val="007F0169"/>
    <w:rsid w:val="00827E6D"/>
    <w:rsid w:val="00832F19"/>
    <w:rsid w:val="00834BF7"/>
    <w:rsid w:val="00855516"/>
    <w:rsid w:val="0086434D"/>
    <w:rsid w:val="00881688"/>
    <w:rsid w:val="008B026F"/>
    <w:rsid w:val="008B08AC"/>
    <w:rsid w:val="008B4FA0"/>
    <w:rsid w:val="008C3F43"/>
    <w:rsid w:val="008D13FE"/>
    <w:rsid w:val="008E3901"/>
    <w:rsid w:val="008F1B0C"/>
    <w:rsid w:val="00913E91"/>
    <w:rsid w:val="00924F73"/>
    <w:rsid w:val="00931393"/>
    <w:rsid w:val="00966D03"/>
    <w:rsid w:val="009746CA"/>
    <w:rsid w:val="00982B29"/>
    <w:rsid w:val="00982FAE"/>
    <w:rsid w:val="009930E0"/>
    <w:rsid w:val="0099449E"/>
    <w:rsid w:val="009B0B3D"/>
    <w:rsid w:val="009D6A05"/>
    <w:rsid w:val="00A36D00"/>
    <w:rsid w:val="00A60790"/>
    <w:rsid w:val="00A618C3"/>
    <w:rsid w:val="00A725CB"/>
    <w:rsid w:val="00AA0F81"/>
    <w:rsid w:val="00AA2E6E"/>
    <w:rsid w:val="00AB6008"/>
    <w:rsid w:val="00AB7145"/>
    <w:rsid w:val="00AD124A"/>
    <w:rsid w:val="00AD4F44"/>
    <w:rsid w:val="00AD7C98"/>
    <w:rsid w:val="00B1093B"/>
    <w:rsid w:val="00B10AB9"/>
    <w:rsid w:val="00B3374E"/>
    <w:rsid w:val="00B43994"/>
    <w:rsid w:val="00B53068"/>
    <w:rsid w:val="00B66505"/>
    <w:rsid w:val="00B768CD"/>
    <w:rsid w:val="00B901C6"/>
    <w:rsid w:val="00B967F9"/>
    <w:rsid w:val="00B96A97"/>
    <w:rsid w:val="00BB5DD9"/>
    <w:rsid w:val="00BB7123"/>
    <w:rsid w:val="00BC7082"/>
    <w:rsid w:val="00BE0E16"/>
    <w:rsid w:val="00BE54E8"/>
    <w:rsid w:val="00BF017A"/>
    <w:rsid w:val="00C10B96"/>
    <w:rsid w:val="00C1320E"/>
    <w:rsid w:val="00C232B8"/>
    <w:rsid w:val="00C30470"/>
    <w:rsid w:val="00C31997"/>
    <w:rsid w:val="00C33E7E"/>
    <w:rsid w:val="00C36810"/>
    <w:rsid w:val="00C40D96"/>
    <w:rsid w:val="00C77259"/>
    <w:rsid w:val="00C91525"/>
    <w:rsid w:val="00C97584"/>
    <w:rsid w:val="00CC2598"/>
    <w:rsid w:val="00CE01BB"/>
    <w:rsid w:val="00CE1AB0"/>
    <w:rsid w:val="00CE2DB4"/>
    <w:rsid w:val="00D0541E"/>
    <w:rsid w:val="00D300F0"/>
    <w:rsid w:val="00D52064"/>
    <w:rsid w:val="00D54089"/>
    <w:rsid w:val="00D542B4"/>
    <w:rsid w:val="00D569FC"/>
    <w:rsid w:val="00D8750C"/>
    <w:rsid w:val="00DB3125"/>
    <w:rsid w:val="00DC3F0C"/>
    <w:rsid w:val="00DC4227"/>
    <w:rsid w:val="00DD247D"/>
    <w:rsid w:val="00DE02FC"/>
    <w:rsid w:val="00DE47E2"/>
    <w:rsid w:val="00E07536"/>
    <w:rsid w:val="00E0754F"/>
    <w:rsid w:val="00E14BE8"/>
    <w:rsid w:val="00E153CC"/>
    <w:rsid w:val="00E822EB"/>
    <w:rsid w:val="00EA2265"/>
    <w:rsid w:val="00ED21FE"/>
    <w:rsid w:val="00ED7CB1"/>
    <w:rsid w:val="00EE6B0D"/>
    <w:rsid w:val="00EF5261"/>
    <w:rsid w:val="00EF613E"/>
    <w:rsid w:val="00EF7DD5"/>
    <w:rsid w:val="00F27E1D"/>
    <w:rsid w:val="00F35228"/>
    <w:rsid w:val="00F47B81"/>
    <w:rsid w:val="00F70378"/>
    <w:rsid w:val="00F86B25"/>
    <w:rsid w:val="00FB1F7D"/>
    <w:rsid w:val="00FC13F1"/>
    <w:rsid w:val="00FC1B27"/>
    <w:rsid w:val="00FD4272"/>
    <w:rsid w:val="00FE4C1C"/>
    <w:rsid w:val="00F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customStyle="1" w:styleId="Default">
    <w:name w:val="Default"/>
    <w:rsid w:val="00AD12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2098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5</cp:revision>
  <dcterms:created xsi:type="dcterms:W3CDTF">2026-03-02T09:27:00Z</dcterms:created>
  <dcterms:modified xsi:type="dcterms:W3CDTF">2026-03-03T09:48:00Z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